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35" w:lineRule="auto"/>
        <w:rPr>
          <w:rFonts w:ascii="Arial"/>
          <w:sz w:val="21"/>
        </w:rPr>
      </w:pPr>
      <w:r/>
    </w:p>
    <w:p>
      <w:pPr>
        <w:ind w:left="79"/>
        <w:spacing w:before="104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31"/>
        </w:rPr>
        <w:t>附件1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right="12"/>
        <w:spacing w:before="143" w:line="219" w:lineRule="auto"/>
        <w:jc w:val="right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6"/>
        </w:rPr>
        <w:t>2026年度教育部哲学社会科学研究重大课题</w:t>
      </w:r>
    </w:p>
    <w:p>
      <w:pPr>
        <w:ind w:left="950"/>
        <w:spacing w:before="4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11"/>
        </w:rPr>
        <w:t>攻关项目和高校思政课教师研究专项</w:t>
      </w:r>
    </w:p>
    <w:p>
      <w:pPr>
        <w:ind w:left="1370"/>
        <w:spacing w:before="52" w:line="220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12"/>
        </w:rPr>
        <w:t>重大课题攻关项目招标课题指南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ind w:left="78"/>
        <w:spacing w:before="98" w:line="221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7"/>
        </w:rPr>
        <w:t>一</w:t>
      </w:r>
      <w:r>
        <w:rPr>
          <w:rFonts w:ascii="SimHei" w:hAnsi="SimHei" w:eastAsia="SimHei" w:cs="SimHei"/>
          <w:sz w:val="30"/>
          <w:szCs w:val="30"/>
          <w:spacing w:val="-35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7"/>
        </w:rPr>
        <w:t>、教育部哲学社会科学研究重大课题攻关项目</w:t>
      </w:r>
    </w:p>
    <w:p>
      <w:pPr>
        <w:pStyle w:val="BodyText"/>
        <w:ind w:left="74"/>
        <w:spacing w:before="225" w:line="222" w:lineRule="auto"/>
        <w:rPr/>
      </w:pPr>
      <w:r>
        <w:rPr>
          <w:spacing w:val="9"/>
        </w:rPr>
        <w:t>1.</w:t>
      </w:r>
      <w:r>
        <w:rPr>
          <w:spacing w:val="9"/>
        </w:rPr>
        <w:t xml:space="preserve"> </w:t>
      </w:r>
      <w:r>
        <w:rPr>
          <w:spacing w:val="9"/>
        </w:rPr>
        <w:t>习近平党建思想体系</w:t>
      </w:r>
      <w:r>
        <w:rPr>
          <w:color w:val="202050"/>
          <w:spacing w:val="9"/>
        </w:rPr>
        <w:t>化学理化研究</w:t>
      </w:r>
    </w:p>
    <w:p>
      <w:pPr>
        <w:pStyle w:val="BodyText"/>
        <w:ind w:left="534" w:hanging="460"/>
        <w:spacing w:before="224" w:line="267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2.  </w:t>
      </w:r>
      <w:r>
        <w:rPr>
          <w:sz w:val="32"/>
          <w:szCs w:val="32"/>
          <w:spacing w:val="5"/>
        </w:rPr>
        <w:t>长征精神在中国共产党精神谱系中的</w:t>
      </w:r>
      <w:r>
        <w:rPr>
          <w:sz w:val="32"/>
          <w:szCs w:val="32"/>
          <w:spacing w:val="4"/>
        </w:rPr>
        <w:t>坐标定位与时代弘扬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研究</w:t>
      </w:r>
    </w:p>
    <w:p>
      <w:pPr>
        <w:pStyle w:val="BodyText"/>
        <w:ind w:left="74"/>
        <w:spacing w:before="239" w:line="222" w:lineRule="auto"/>
        <w:rPr/>
      </w:pPr>
      <w:r>
        <w:rPr>
          <w:rFonts w:ascii="Times New Roman" w:hAnsi="Times New Roman" w:eastAsia="Times New Roman" w:cs="Times New Roman"/>
          <w:spacing w:val="16"/>
        </w:rPr>
        <w:t>3.  </w:t>
      </w:r>
      <w:r>
        <w:rPr>
          <w:spacing w:val="16"/>
        </w:rPr>
        <w:t>中国共产党的特质优势研究</w:t>
      </w:r>
    </w:p>
    <w:p>
      <w:pPr>
        <w:pStyle w:val="BodyText"/>
        <w:ind w:left="74"/>
        <w:spacing w:before="227" w:line="222" w:lineRule="auto"/>
        <w:rPr/>
      </w:pPr>
      <w:r>
        <w:rPr>
          <w:spacing w:val="15"/>
        </w:rPr>
        <w:t>4.</w:t>
      </w:r>
      <w:r>
        <w:rPr>
          <w:spacing w:val="-64"/>
        </w:rPr>
        <w:t xml:space="preserve"> </w:t>
      </w:r>
      <w:r>
        <w:rPr>
          <w:spacing w:val="15"/>
        </w:rPr>
        <w:t>系统推进我国宗教中国化的体制机制与治理路径研究</w:t>
      </w:r>
    </w:p>
    <w:p>
      <w:pPr>
        <w:pStyle w:val="BodyText"/>
        <w:ind w:left="534" w:right="9" w:hanging="460"/>
        <w:spacing w:before="232" w:line="277" w:lineRule="auto"/>
        <w:rPr/>
      </w:pPr>
      <w:r>
        <w:rPr>
          <w:rFonts w:ascii="Times New Roman" w:hAnsi="Times New Roman" w:eastAsia="Times New Roman" w:cs="Times New Roman"/>
          <w:spacing w:val="22"/>
        </w:rPr>
        <w:t>5.</w:t>
      </w:r>
      <w:r>
        <w:rPr>
          <w:rFonts w:ascii="Times New Roman" w:hAnsi="Times New Roman" w:eastAsia="Times New Roman" w:cs="Times New Roman"/>
          <w:spacing w:val="29"/>
        </w:rPr>
        <w:t xml:space="preserve">  </w:t>
      </w:r>
      <w:r>
        <w:rPr>
          <w:spacing w:val="22"/>
        </w:rPr>
        <w:t>历史上中国各家思想综合创新对中国哲学发展及国家治理</w:t>
      </w:r>
      <w:r>
        <w:rPr/>
        <w:t xml:space="preserve"> </w:t>
      </w:r>
      <w:r>
        <w:rPr>
          <w:spacing w:val="8"/>
        </w:rPr>
        <w:t>的价值研究</w:t>
      </w:r>
    </w:p>
    <w:p>
      <w:pPr>
        <w:pStyle w:val="BodyText"/>
        <w:ind w:left="74"/>
        <w:spacing w:before="247" w:line="222" w:lineRule="auto"/>
        <w:rPr/>
      </w:pPr>
      <w:r>
        <w:rPr>
          <w:rFonts w:ascii="Times New Roman" w:hAnsi="Times New Roman" w:eastAsia="Times New Roman" w:cs="Times New Roman"/>
          <w:spacing w:val="12"/>
        </w:rPr>
        <w:t>6.</w:t>
      </w:r>
      <w:r>
        <w:rPr>
          <w:rFonts w:ascii="Times New Roman" w:hAnsi="Times New Roman" w:eastAsia="Times New Roman" w:cs="Times New Roman"/>
          <w:spacing w:val="35"/>
        </w:rPr>
        <w:t xml:space="preserve">  </w:t>
      </w:r>
      <w:r>
        <w:rPr>
          <w:spacing w:val="12"/>
        </w:rPr>
        <w:t>服务业提质扩容的现实需求与供需适配机制研究</w:t>
      </w:r>
    </w:p>
    <w:p>
      <w:pPr>
        <w:pStyle w:val="BodyText"/>
        <w:ind w:left="74"/>
        <w:spacing w:before="230" w:line="222" w:lineRule="auto"/>
        <w:rPr/>
      </w:pPr>
      <w:r>
        <w:rPr>
          <w:rFonts w:ascii="Times New Roman" w:hAnsi="Times New Roman" w:eastAsia="Times New Roman" w:cs="Times New Roman"/>
          <w:spacing w:val="13"/>
        </w:rPr>
        <w:t>7.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 </w:t>
      </w:r>
      <w:r>
        <w:rPr>
          <w:spacing w:val="13"/>
        </w:rPr>
        <w:t>统筹扩投资与促消费的内涵路径与政策研究</w:t>
      </w:r>
    </w:p>
    <w:p>
      <w:pPr>
        <w:pStyle w:val="BodyText"/>
        <w:ind w:left="74"/>
        <w:spacing w:before="208" w:line="221" w:lineRule="auto"/>
        <w:rPr/>
      </w:pPr>
      <w:r>
        <w:rPr>
          <w:rFonts w:ascii="Times New Roman" w:hAnsi="Times New Roman" w:eastAsia="Times New Roman" w:cs="Times New Roman"/>
          <w:spacing w:val="10"/>
        </w:rPr>
        <w:t>8.</w:t>
      </w:r>
      <w:r>
        <w:rPr>
          <w:rFonts w:ascii="Times New Roman" w:hAnsi="Times New Roman" w:eastAsia="Times New Roman" w:cs="Times New Roman"/>
          <w:spacing w:val="3"/>
        </w:rPr>
        <w:t xml:space="preserve">   </w:t>
      </w:r>
      <w:r>
        <w:rPr>
          <w:spacing w:val="10"/>
        </w:rPr>
        <w:t>因地制宜发展县域经济路径研究</w:t>
      </w:r>
    </w:p>
    <w:p>
      <w:pPr>
        <w:pStyle w:val="BodyText"/>
        <w:ind w:right="9"/>
        <w:spacing w:before="242" w:line="222" w:lineRule="auto"/>
        <w:jc w:val="right"/>
        <w:rPr/>
      </w:pPr>
      <w:r>
        <w:rPr>
          <w:rFonts w:ascii="Times New Roman" w:hAnsi="Times New Roman" w:eastAsia="Times New Roman" w:cs="Times New Roman"/>
          <w:color w:val="202050"/>
          <w:spacing w:val="21"/>
        </w:rPr>
        <w:t>9.</w:t>
      </w:r>
      <w:r>
        <w:rPr>
          <w:rFonts w:ascii="Times New Roman" w:hAnsi="Times New Roman" w:eastAsia="Times New Roman" w:cs="Times New Roman"/>
          <w:color w:val="202050"/>
          <w:spacing w:val="42"/>
          <w:w w:val="101"/>
        </w:rPr>
        <w:t xml:space="preserve">  </w:t>
      </w:r>
      <w:r>
        <w:rPr>
          <w:color w:val="202050"/>
          <w:spacing w:val="21"/>
        </w:rPr>
        <w:t>高水平开放背景下未来产业国际规则对接与全球共同治理</w:t>
      </w:r>
    </w:p>
    <w:p>
      <w:pPr>
        <w:pStyle w:val="BodyText"/>
        <w:ind w:left="504"/>
        <w:spacing w:before="182" w:line="224" w:lineRule="auto"/>
        <w:rPr/>
      </w:pPr>
      <w:r>
        <w:rPr>
          <w:spacing w:val="6"/>
        </w:rPr>
        <w:t>研究</w:t>
      </w:r>
    </w:p>
    <w:p>
      <w:pPr>
        <w:pStyle w:val="BodyText"/>
        <w:ind w:left="74"/>
        <w:spacing w:before="255" w:line="222" w:lineRule="auto"/>
        <w:rPr/>
      </w:pPr>
      <w:r>
        <w:rPr>
          <w:rFonts w:ascii="Times New Roman" w:hAnsi="Times New Roman" w:eastAsia="Times New Roman" w:cs="Times New Roman"/>
          <w:spacing w:val="11"/>
        </w:rPr>
        <w:t>10.</w:t>
      </w:r>
      <w:r>
        <w:rPr>
          <w:rFonts w:ascii="Times New Roman" w:hAnsi="Times New Roman" w:eastAsia="Times New Roman" w:cs="Times New Roman"/>
          <w:spacing w:val="-11"/>
        </w:rPr>
        <w:t xml:space="preserve"> </w:t>
      </w:r>
      <w:r>
        <w:rPr>
          <w:spacing w:val="11"/>
        </w:rPr>
        <w:t>农业现代化大产业建构机理与实践路径研究</w:t>
      </w:r>
    </w:p>
    <w:p>
      <w:pPr>
        <w:pStyle w:val="BodyText"/>
        <w:ind w:left="74"/>
        <w:spacing w:before="217" w:line="222" w:lineRule="auto"/>
        <w:rPr/>
      </w:pPr>
      <w:r>
        <w:rPr>
          <w:rFonts w:ascii="Times New Roman" w:hAnsi="Times New Roman" w:eastAsia="Times New Roman" w:cs="Times New Roman"/>
          <w:spacing w:val="10"/>
        </w:rPr>
        <w:t>11. </w:t>
      </w:r>
      <w:r>
        <w:rPr>
          <w:spacing w:val="10"/>
        </w:rPr>
        <w:t>海南自由贸易港制度型开放与高质量发展路径研究</w:t>
      </w:r>
    </w:p>
    <w:p>
      <w:pPr>
        <w:pStyle w:val="BodyText"/>
        <w:ind w:left="74"/>
        <w:spacing w:before="212" w:line="222" w:lineRule="auto"/>
        <w:rPr/>
      </w:pPr>
      <w:r>
        <w:rPr>
          <w:rFonts w:ascii="Times New Roman" w:hAnsi="Times New Roman" w:eastAsia="Times New Roman" w:cs="Times New Roman"/>
          <w:spacing w:val="9"/>
        </w:rPr>
        <w:t>12. </w:t>
      </w:r>
      <w:r>
        <w:rPr>
          <w:spacing w:val="9"/>
        </w:rPr>
        <w:t>中国式现代化进程中的金融结构优化研究</w:t>
      </w:r>
    </w:p>
    <w:p>
      <w:pPr>
        <w:pStyle w:val="BodyText"/>
        <w:ind w:left="74"/>
        <w:spacing w:before="226" w:line="221" w:lineRule="auto"/>
        <w:rPr/>
      </w:pPr>
      <w:r>
        <w:rPr>
          <w:rFonts w:ascii="Times New Roman" w:hAnsi="Times New Roman" w:eastAsia="Times New Roman" w:cs="Times New Roman"/>
          <w:spacing w:val="10"/>
        </w:rPr>
        <w:t>13. </w:t>
      </w:r>
      <w:r>
        <w:rPr>
          <w:spacing w:val="10"/>
        </w:rPr>
        <w:t>深化重点行业领域服务贸易与服务消费融合发展研究</w:t>
      </w:r>
    </w:p>
    <w:p>
      <w:pPr>
        <w:spacing w:line="221" w:lineRule="auto"/>
        <w:sectPr>
          <w:footerReference w:type="default" r:id="rId1"/>
          <w:pgSz w:w="11970" w:h="16830"/>
          <w:pgMar w:top="1430" w:right="1562" w:bottom="1367" w:left="1795" w:header="0" w:footer="1069" w:gutter="0"/>
        </w:sectPr>
        <w:rPr/>
      </w:pPr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spacing w:before="97" w:line="222" w:lineRule="auto"/>
        <w:rPr/>
      </w:pPr>
      <w:r>
        <w:rPr>
          <w:spacing w:val="7"/>
        </w:rPr>
        <w:t>14.数据立法体系化构建研究</w:t>
      </w:r>
    </w:p>
    <w:p>
      <w:pPr>
        <w:pStyle w:val="BodyText"/>
        <w:spacing w:before="229" w:line="222" w:lineRule="auto"/>
        <w:rPr/>
      </w:pPr>
      <w:r>
        <w:rPr>
          <w:spacing w:val="8"/>
        </w:rPr>
        <w:t>15.低空安全治理体系构建研究</w:t>
      </w:r>
    </w:p>
    <w:p>
      <w:pPr>
        <w:pStyle w:val="BodyText"/>
        <w:spacing w:before="206" w:line="222" w:lineRule="auto"/>
        <w:rPr/>
      </w:pPr>
      <w:r>
        <w:rPr>
          <w:spacing w:val="7"/>
        </w:rPr>
        <w:t>16.我国人工智能立法研究</w:t>
      </w:r>
    </w:p>
    <w:p>
      <w:pPr>
        <w:pStyle w:val="BodyText"/>
        <w:spacing w:before="239" w:line="222" w:lineRule="auto"/>
        <w:rPr/>
      </w:pPr>
      <w:r>
        <w:rPr>
          <w:rFonts w:ascii="Times New Roman" w:hAnsi="Times New Roman" w:eastAsia="Times New Roman" w:cs="Times New Roman"/>
          <w:spacing w:val="13"/>
        </w:rPr>
        <w:t>17.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13"/>
        </w:rPr>
        <w:t>数字智能时代推进社会公平正义的治理机制创新</w:t>
      </w:r>
      <w:r>
        <w:rPr>
          <w:spacing w:val="12"/>
        </w:rPr>
        <w:t>研究</w:t>
      </w:r>
    </w:p>
    <w:p>
      <w:pPr>
        <w:pStyle w:val="BodyText"/>
        <w:spacing w:before="209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18.</w:t>
      </w:r>
      <w:r>
        <w:rPr>
          <w:spacing w:val="15"/>
        </w:rPr>
        <w:t>新征程上更好凝聚侨心侨力服务中国式现代化的</w:t>
      </w:r>
      <w:r>
        <w:rPr>
          <w:spacing w:val="14"/>
        </w:rPr>
        <w:t>机制研究</w:t>
      </w:r>
    </w:p>
    <w:p>
      <w:pPr>
        <w:pStyle w:val="BodyText"/>
        <w:spacing w:before="218" w:line="221" w:lineRule="auto"/>
        <w:rPr/>
      </w:pPr>
      <w:r>
        <w:rPr>
          <w:spacing w:val="10"/>
        </w:rPr>
        <w:t>19.新时代以来中国构建周边命运共同体研究</w:t>
      </w:r>
    </w:p>
    <w:p>
      <w:pPr>
        <w:pStyle w:val="BodyText"/>
        <w:spacing w:before="231" w:line="221" w:lineRule="auto"/>
        <w:rPr/>
      </w:pPr>
      <w:r>
        <w:rPr>
          <w:rFonts w:ascii="Times New Roman" w:hAnsi="Times New Roman" w:eastAsia="Times New Roman" w:cs="Times New Roman"/>
          <w:spacing w:val="15"/>
        </w:rPr>
        <w:t>20.</w:t>
      </w:r>
      <w:r>
        <w:rPr>
          <w:spacing w:val="15"/>
        </w:rPr>
        <w:t>未成年人不良行为分级干预的类型化与多方协同机制研究</w:t>
      </w:r>
    </w:p>
    <w:p>
      <w:pPr>
        <w:pStyle w:val="BodyText"/>
        <w:spacing w:before="224" w:line="222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27"/>
        </w:rPr>
        <w:t>21. </w:t>
      </w:r>
      <w:r>
        <w:rPr>
          <w:sz w:val="28"/>
          <w:szCs w:val="28"/>
          <w:spacing w:val="27"/>
        </w:rPr>
        <w:t>积极应对人口老龄化国家战略研究</w:t>
      </w:r>
    </w:p>
    <w:p>
      <w:pPr>
        <w:pStyle w:val="BodyText"/>
        <w:spacing w:before="240" w:line="221" w:lineRule="auto"/>
        <w:rPr/>
      </w:pPr>
      <w:r>
        <w:rPr>
          <w:spacing w:val="13"/>
        </w:rPr>
        <w:t>22.人工智能时代人才素养需求变化与教育体系改革研究</w:t>
      </w:r>
    </w:p>
    <w:p>
      <w:pPr>
        <w:pStyle w:val="BodyText"/>
        <w:spacing w:before="221" w:line="220" w:lineRule="auto"/>
        <w:rPr/>
      </w:pPr>
      <w:r>
        <w:rPr>
          <w:rFonts w:ascii="Times New Roman" w:hAnsi="Times New Roman" w:eastAsia="Times New Roman" w:cs="Times New Roman"/>
          <w:spacing w:val="15"/>
        </w:rPr>
        <w:t>23.</w:t>
      </w:r>
      <w:r>
        <w:rPr>
          <w:spacing w:val="15"/>
        </w:rPr>
        <w:t>民办学校办学风险的演化机理与韧性治理机制研究</w:t>
      </w:r>
    </w:p>
    <w:p>
      <w:pPr>
        <w:pStyle w:val="BodyText"/>
        <w:ind w:left="409" w:right="10" w:hanging="409"/>
        <w:spacing w:before="212" w:line="289" w:lineRule="auto"/>
        <w:rPr/>
      </w:pPr>
      <w:r>
        <w:rPr>
          <w:rFonts w:ascii="Times New Roman" w:hAnsi="Times New Roman" w:eastAsia="Times New Roman" w:cs="Times New Roman"/>
          <w:spacing w:val="24"/>
        </w:rPr>
        <w:t>24.</w:t>
      </w:r>
      <w:r>
        <w:rPr>
          <w:spacing w:val="24"/>
        </w:rPr>
        <w:t>基础研究领域青年人才成长规律与培养支持体系中外比较</w:t>
      </w:r>
      <w:r>
        <w:rPr>
          <w:spacing w:val="13"/>
        </w:rPr>
        <w:t xml:space="preserve"> </w:t>
      </w:r>
      <w:r>
        <w:rPr>
          <w:spacing w:val="16"/>
        </w:rPr>
        <w:t>研究</w:t>
      </w:r>
    </w:p>
    <w:p>
      <w:pPr>
        <w:pStyle w:val="BodyText"/>
        <w:spacing w:before="215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25.</w:t>
      </w:r>
      <w:r>
        <w:rPr>
          <w:spacing w:val="15"/>
        </w:rPr>
        <w:t>大中小学劳动教育一体化实施实践研究</w:t>
      </w:r>
    </w:p>
    <w:p>
      <w:pPr>
        <w:pStyle w:val="BodyText"/>
        <w:spacing w:before="217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26.</w:t>
      </w:r>
      <w:r>
        <w:rPr>
          <w:spacing w:val="15"/>
        </w:rPr>
        <w:t>科技人文协同育人机制与实践路径研究</w:t>
      </w:r>
    </w:p>
    <w:p>
      <w:pPr>
        <w:pStyle w:val="BodyText"/>
        <w:spacing w:before="241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27.</w:t>
      </w:r>
      <w:r>
        <w:rPr>
          <w:spacing w:val="15"/>
        </w:rPr>
        <w:t>国际中文教育全球推广战略与实施路径研究</w:t>
      </w:r>
    </w:p>
    <w:p>
      <w:pPr>
        <w:pStyle w:val="BodyText"/>
        <w:spacing w:before="207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28.</w:t>
      </w:r>
      <w:r>
        <w:rPr>
          <w:spacing w:val="15"/>
        </w:rPr>
        <w:t>教育强国背景下高考功能定位与考试内容体系研究</w:t>
      </w:r>
    </w:p>
    <w:p>
      <w:pPr>
        <w:pStyle w:val="BodyText"/>
        <w:spacing w:before="229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29.</w:t>
      </w:r>
      <w:r>
        <w:rPr>
          <w:spacing w:val="15"/>
        </w:rPr>
        <w:t>全国基础教育阶段学生心理健康监测预警体系研究</w:t>
      </w:r>
    </w:p>
    <w:p>
      <w:pPr>
        <w:pStyle w:val="BodyText"/>
        <w:ind w:left="409" w:hanging="409"/>
        <w:spacing w:before="243" w:line="283" w:lineRule="auto"/>
        <w:rPr/>
      </w:pPr>
      <w:r>
        <w:rPr>
          <w:rFonts w:ascii="Times New Roman" w:hAnsi="Times New Roman" w:eastAsia="Times New Roman" w:cs="Times New Roman"/>
          <w:spacing w:val="25"/>
        </w:rPr>
        <w:t>30.</w:t>
      </w:r>
      <w:r>
        <w:rPr>
          <w:spacing w:val="25"/>
        </w:rPr>
        <w:t>民族地区少数民族儿童认知模式特点与国家通</w:t>
      </w:r>
      <w:r>
        <w:rPr>
          <w:spacing w:val="24"/>
        </w:rPr>
        <w:t>用语言文字</w:t>
      </w:r>
      <w:r>
        <w:rPr/>
        <w:t xml:space="preserve"> </w:t>
      </w:r>
      <w:r>
        <w:rPr>
          <w:spacing w:val="17"/>
        </w:rPr>
        <w:t>教育实践研究</w:t>
      </w:r>
    </w:p>
    <w:p>
      <w:pPr>
        <w:pStyle w:val="BodyText"/>
        <w:spacing w:before="227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31.</w:t>
      </w:r>
      <w:r>
        <w:rPr>
          <w:spacing w:val="15"/>
        </w:rPr>
        <w:t>世界主要国家语言战略比较与中国国家语言能力建设研究</w:t>
      </w:r>
    </w:p>
    <w:p>
      <w:pPr>
        <w:pStyle w:val="BodyText"/>
        <w:spacing w:before="219" w:line="222" w:lineRule="auto"/>
        <w:rPr/>
      </w:pPr>
      <w:r>
        <w:rPr>
          <w:rFonts w:ascii="Times New Roman" w:hAnsi="Times New Roman" w:eastAsia="Times New Roman" w:cs="Times New Roman"/>
          <w:spacing w:val="15"/>
        </w:rPr>
        <w:t>32.</w:t>
      </w:r>
      <w:r>
        <w:rPr>
          <w:spacing w:val="15"/>
        </w:rPr>
        <w:t>中华文明发展史的影像书写与话语体系构建研究</w:t>
      </w:r>
    </w:p>
    <w:p>
      <w:pPr>
        <w:pStyle w:val="BodyText"/>
        <w:ind w:left="409" w:right="11" w:hanging="409"/>
        <w:spacing w:before="227" w:line="291" w:lineRule="auto"/>
        <w:rPr/>
      </w:pPr>
      <w:r>
        <w:rPr>
          <w:rFonts w:ascii="Times New Roman" w:hAnsi="Times New Roman" w:eastAsia="Times New Roman" w:cs="Times New Roman"/>
          <w:spacing w:val="22"/>
        </w:rPr>
        <w:t>33.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22"/>
        </w:rPr>
        <w:t>智能传播与人机共生视域下新闻传播研究范式转型与话语</w:t>
      </w:r>
      <w:r>
        <w:rPr/>
        <w:t xml:space="preserve"> </w:t>
      </w:r>
      <w:r>
        <w:rPr>
          <w:spacing w:val="17"/>
        </w:rPr>
        <w:t>体系创新研究</w:t>
      </w:r>
    </w:p>
    <w:p>
      <w:pPr>
        <w:spacing w:line="291" w:lineRule="auto"/>
        <w:sectPr>
          <w:footerReference w:type="default" r:id="rId2"/>
          <w:pgSz w:w="11960" w:h="16830"/>
          <w:pgMar w:top="1430" w:right="1768" w:bottom="1433" w:left="1619" w:header="0" w:footer="1231" w:gutter="0"/>
        </w:sectPr>
        <w:rPr/>
      </w:pP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124"/>
        <w:spacing w:before="98" w:line="221" w:lineRule="auto"/>
        <w:rPr/>
      </w:pPr>
      <w:r>
        <w:rPr>
          <w:rFonts w:ascii="Times New Roman" w:hAnsi="Times New Roman" w:eastAsia="Times New Roman" w:cs="Times New Roman"/>
          <w:spacing w:val="13"/>
        </w:rPr>
        <w:t>34.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13"/>
        </w:rPr>
        <w:t>基于技术文明的三星堆造物艺术研究</w:t>
      </w:r>
    </w:p>
    <w:p>
      <w:pPr>
        <w:pStyle w:val="BodyText"/>
        <w:ind w:left="124"/>
        <w:spacing w:before="197" w:line="219" w:lineRule="auto"/>
        <w:rPr/>
      </w:pPr>
      <w:r>
        <w:rPr>
          <w:rFonts w:ascii="Times New Roman" w:hAnsi="Times New Roman" w:eastAsia="Times New Roman" w:cs="Times New Roman"/>
          <w:spacing w:val="22"/>
        </w:rPr>
        <w:t>35.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22"/>
        </w:rPr>
        <w:t>东亚诸国的儒学化进程及其近代化转型(17—19世纪)</w:t>
      </w:r>
    </w:p>
    <w:p>
      <w:pPr>
        <w:pStyle w:val="BodyText"/>
        <w:ind w:left="124"/>
        <w:spacing w:before="226" w:line="219" w:lineRule="auto"/>
        <w:rPr/>
      </w:pPr>
      <w:r>
        <w:rPr>
          <w:rFonts w:ascii="Times New Roman" w:hAnsi="Times New Roman" w:eastAsia="Times New Roman" w:cs="Times New Roman"/>
          <w:spacing w:val="8"/>
        </w:rPr>
        <w:t>36. </w:t>
      </w:r>
      <w:r>
        <w:rPr>
          <w:spacing w:val="8"/>
        </w:rPr>
        <w:t>契丹历史遗存研究</w:t>
      </w:r>
    </w:p>
    <w:p>
      <w:pPr>
        <w:pStyle w:val="BodyText"/>
        <w:ind w:left="124"/>
        <w:spacing w:before="224" w:line="220" w:lineRule="auto"/>
        <w:rPr/>
      </w:pPr>
      <w:r>
        <w:rPr>
          <w:rFonts w:ascii="Times New Roman" w:hAnsi="Times New Roman" w:eastAsia="Times New Roman" w:cs="Times New Roman"/>
          <w:color w:val="201040"/>
          <w:spacing w:val="11"/>
        </w:rPr>
        <w:t>37. </w:t>
      </w:r>
      <w:r>
        <w:rPr>
          <w:color w:val="201040"/>
          <w:spacing w:val="11"/>
        </w:rPr>
        <w:t>南海历史档案资料及成果共享研究</w:t>
      </w:r>
    </w:p>
    <w:p>
      <w:pPr>
        <w:pStyle w:val="BodyText"/>
        <w:ind w:left="543" w:right="23" w:hanging="419"/>
        <w:spacing w:before="221" w:line="283" w:lineRule="auto"/>
        <w:rPr/>
      </w:pPr>
      <w:r>
        <w:rPr>
          <w:spacing w:val="20"/>
        </w:rPr>
        <w:t>38.全域养老视角下的养老服务体系布局优化与资源动态管理</w:t>
      </w:r>
      <w:r>
        <w:rPr>
          <w:spacing w:val="17"/>
        </w:rPr>
        <w:t xml:space="preserve"> </w:t>
      </w:r>
      <w:r>
        <w:rPr>
          <w:spacing w:val="6"/>
        </w:rPr>
        <w:t>研究</w:t>
      </w:r>
    </w:p>
    <w:p>
      <w:pPr>
        <w:pStyle w:val="BodyText"/>
        <w:ind w:left="124"/>
        <w:spacing w:before="245" w:line="223" w:lineRule="auto"/>
        <w:rPr/>
      </w:pPr>
      <w:r>
        <w:rPr>
          <w:spacing w:val="12"/>
        </w:rPr>
        <w:t>39.统筹我国数据跨境流动发展与安全研究</w:t>
      </w:r>
    </w:p>
    <w:p>
      <w:pPr>
        <w:pStyle w:val="BodyText"/>
        <w:ind w:left="124"/>
        <w:spacing w:before="215" w:line="222" w:lineRule="auto"/>
        <w:rPr/>
      </w:pPr>
      <w:r>
        <w:rPr>
          <w:rFonts w:ascii="Times New Roman" w:hAnsi="Times New Roman" w:eastAsia="Times New Roman" w:cs="Times New Roman"/>
          <w:spacing w:val="12"/>
        </w:rPr>
        <w:t>40. </w:t>
      </w:r>
      <w:r>
        <w:rPr>
          <w:spacing w:val="12"/>
        </w:rPr>
        <w:t>推动科技创新和产业创新深度融合的机制研究</w:t>
      </w:r>
    </w:p>
    <w:p>
      <w:pPr>
        <w:pStyle w:val="BodyText"/>
        <w:ind w:left="124"/>
        <w:spacing w:before="218" w:line="220" w:lineRule="auto"/>
        <w:rPr/>
      </w:pPr>
      <w:r>
        <w:rPr>
          <w:rFonts w:ascii="Times New Roman" w:hAnsi="Times New Roman" w:eastAsia="Times New Roman" w:cs="Times New Roman"/>
          <w:spacing w:val="11"/>
        </w:rPr>
        <w:t>41. </w:t>
      </w:r>
      <w:r>
        <w:rPr>
          <w:spacing w:val="11"/>
        </w:rPr>
        <w:t>常态化东西部协作长效机制构建与优化路径研究</w:t>
      </w:r>
    </w:p>
    <w:p>
      <w:pPr>
        <w:pStyle w:val="BodyText"/>
        <w:ind w:left="124"/>
        <w:spacing w:before="234" w:line="222" w:lineRule="auto"/>
        <w:rPr/>
      </w:pPr>
      <w:r>
        <w:rPr>
          <w:rFonts w:ascii="Times New Roman" w:hAnsi="Times New Roman" w:eastAsia="Times New Roman" w:cs="Times New Roman"/>
          <w:spacing w:val="13"/>
        </w:rPr>
        <w:t>42. </w:t>
      </w:r>
      <w:r>
        <w:rPr>
          <w:spacing w:val="13"/>
        </w:rPr>
        <w:t>加强基础研究与提升原始创新能力体制</w:t>
      </w:r>
      <w:r>
        <w:rPr>
          <w:spacing w:val="12"/>
        </w:rPr>
        <w:t>机制研究</w:t>
      </w:r>
    </w:p>
    <w:p>
      <w:pPr>
        <w:pStyle w:val="BodyText"/>
        <w:ind w:left="543" w:hanging="419"/>
        <w:spacing w:before="219" w:line="291" w:lineRule="auto"/>
        <w:rPr/>
      </w:pPr>
      <w:r>
        <w:rPr>
          <w:rFonts w:ascii="Times New Roman" w:hAnsi="Times New Roman" w:eastAsia="Times New Roman" w:cs="Times New Roman"/>
          <w:spacing w:val="21"/>
        </w:rPr>
        <w:t>43. </w:t>
      </w:r>
      <w:r>
        <w:rPr>
          <w:spacing w:val="21"/>
        </w:rPr>
        <w:t>统筹高质量发展和高水平安全视域下防</w:t>
      </w:r>
      <w:r>
        <w:rPr>
          <w:spacing w:val="20"/>
        </w:rPr>
        <w:t>灾减灾救灾能力提</w:t>
      </w:r>
      <w:r>
        <w:rPr/>
        <w:t xml:space="preserve"> </w:t>
      </w:r>
      <w:r>
        <w:rPr>
          <w:spacing w:val="14"/>
        </w:rPr>
        <w:t>升研究</w:t>
      </w:r>
    </w:p>
    <w:p>
      <w:pPr>
        <w:pStyle w:val="BodyText"/>
        <w:ind w:left="124"/>
        <w:spacing w:before="214" w:line="222" w:lineRule="auto"/>
        <w:rPr/>
      </w:pPr>
      <w:r>
        <w:rPr>
          <w:rFonts w:ascii="Times New Roman" w:hAnsi="Times New Roman" w:eastAsia="Times New Roman" w:cs="Times New Roman"/>
          <w:spacing w:val="13"/>
        </w:rPr>
        <w:t>44.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13"/>
        </w:rPr>
        <w:t>人工智能时代高质量数据供给与数据安全治理体系研究</w:t>
      </w:r>
    </w:p>
    <w:p>
      <w:pPr>
        <w:pStyle w:val="BodyText"/>
        <w:ind w:left="124"/>
        <w:spacing w:before="242" w:line="222" w:lineRule="auto"/>
        <w:rPr/>
      </w:pPr>
      <w:r>
        <w:rPr>
          <w:spacing w:val="12"/>
        </w:rPr>
        <w:t>45.全球南方崛起视域下的科技产业链重</w:t>
      </w:r>
      <w:r>
        <w:rPr>
          <w:spacing w:val="11"/>
        </w:rPr>
        <w:t>组研究</w:t>
      </w:r>
    </w:p>
    <w:p>
      <w:pPr>
        <w:ind w:left="124"/>
        <w:spacing w:before="218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0"/>
        </w:rPr>
        <w:t>二</w:t>
      </w:r>
      <w:r>
        <w:rPr>
          <w:rFonts w:ascii="SimHei" w:hAnsi="SimHei" w:eastAsia="SimHei" w:cs="SimHei"/>
          <w:sz w:val="30"/>
          <w:szCs w:val="30"/>
          <w:spacing w:val="-43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10"/>
        </w:rPr>
        <w:t>、高校思政课教师研究专项重大课题攻关项目</w:t>
      </w:r>
    </w:p>
    <w:p>
      <w:pPr>
        <w:pStyle w:val="BodyText"/>
        <w:ind w:left="124"/>
        <w:spacing w:before="130" w:line="222" w:lineRule="auto"/>
        <w:rPr/>
      </w:pPr>
      <w:r>
        <w:rPr>
          <w:spacing w:val="11"/>
        </w:rPr>
        <w:t>1.</w:t>
      </w:r>
      <w:r>
        <w:rPr>
          <w:spacing w:val="11"/>
        </w:rPr>
        <w:t xml:space="preserve"> </w:t>
      </w:r>
      <w:r>
        <w:rPr>
          <w:spacing w:val="11"/>
        </w:rPr>
        <w:t>党的二十届五中全会精神融入高校思政课</w:t>
      </w:r>
      <w:r>
        <w:rPr>
          <w:spacing w:val="10"/>
        </w:rPr>
        <w:t>研究</w:t>
      </w:r>
    </w:p>
    <w:p>
      <w:pPr>
        <w:pStyle w:val="BodyText"/>
        <w:ind w:left="124"/>
        <w:spacing w:before="261" w:line="222" w:lineRule="auto"/>
        <w:rPr/>
      </w:pPr>
      <w:r>
        <w:rPr>
          <w:rFonts w:ascii="Times New Roman" w:hAnsi="Times New Roman" w:eastAsia="Times New Roman" w:cs="Times New Roman"/>
          <w:spacing w:val="12"/>
        </w:rPr>
        <w:t>2.</w:t>
      </w:r>
      <w:r>
        <w:rPr>
          <w:rFonts w:ascii="Times New Roman" w:hAnsi="Times New Roman" w:eastAsia="Times New Roman" w:cs="Times New Roman"/>
          <w:spacing w:val="3"/>
        </w:rPr>
        <w:t xml:space="preserve">   </w:t>
      </w:r>
      <w:r>
        <w:rPr>
          <w:spacing w:val="12"/>
        </w:rPr>
        <w:t>习近平党建思想的生动实践教育案例研究</w:t>
      </w:r>
    </w:p>
    <w:p>
      <w:pPr>
        <w:pStyle w:val="BodyText"/>
        <w:ind w:left="543" w:right="3" w:hanging="419"/>
        <w:spacing w:before="229" w:line="302" w:lineRule="auto"/>
        <w:rPr/>
      </w:pPr>
      <w:r>
        <w:rPr>
          <w:spacing w:val="10"/>
        </w:rPr>
        <w:t>3.</w:t>
      </w:r>
      <w:r>
        <w:rPr>
          <w:spacing w:val="10"/>
        </w:rPr>
        <w:t xml:space="preserve"> </w:t>
      </w:r>
      <w:r>
        <w:rPr>
          <w:spacing w:val="10"/>
        </w:rPr>
        <w:t>“习近平新时代中国特色社会主义思想概论”课教学案例标</w:t>
      </w:r>
      <w:r>
        <w:rPr>
          <w:spacing w:val="7"/>
        </w:rPr>
        <w:t xml:space="preserve"> </w:t>
      </w:r>
      <w:r>
        <w:rPr>
          <w:spacing w:val="14"/>
        </w:rPr>
        <w:t>准研究</w:t>
      </w:r>
    </w:p>
    <w:p>
      <w:pPr>
        <w:pStyle w:val="BodyText"/>
        <w:ind w:left="124"/>
        <w:spacing w:before="236" w:line="222" w:lineRule="auto"/>
        <w:rPr/>
      </w:pPr>
      <w:r>
        <w:rPr>
          <w:rFonts w:ascii="Times New Roman" w:hAnsi="Times New Roman" w:eastAsia="Times New Roman" w:cs="Times New Roman"/>
          <w:spacing w:val="13"/>
        </w:rPr>
        <w:t>4.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13"/>
        </w:rPr>
        <w:t>习近平总书记国内考察重要足迹融入高校思政课研究</w:t>
      </w:r>
    </w:p>
    <w:p>
      <w:pPr>
        <w:pStyle w:val="BodyText"/>
        <w:ind w:left="124"/>
        <w:spacing w:before="249" w:line="221" w:lineRule="auto"/>
        <w:rPr/>
      </w:pPr>
      <w:r>
        <w:rPr>
          <w:spacing w:val="11"/>
        </w:rPr>
        <w:t>5.</w:t>
      </w:r>
      <w:r>
        <w:rPr>
          <w:spacing w:val="11"/>
        </w:rPr>
        <w:t xml:space="preserve"> </w:t>
      </w:r>
      <w:r>
        <w:rPr>
          <w:spacing w:val="11"/>
        </w:rPr>
        <w:t>新时代伟大成就及实践教育案例研究</w:t>
      </w:r>
    </w:p>
    <w:p>
      <w:pPr>
        <w:pStyle w:val="BodyText"/>
        <w:ind w:left="124"/>
        <w:spacing w:before="260" w:line="220" w:lineRule="auto"/>
        <w:rPr/>
      </w:pPr>
      <w:r>
        <w:rPr>
          <w:rFonts w:ascii="Times New Roman" w:hAnsi="Times New Roman" w:eastAsia="Times New Roman" w:cs="Times New Roman"/>
          <w:spacing w:val="15"/>
        </w:rPr>
        <w:t>6.</w:t>
      </w:r>
      <w:r>
        <w:rPr>
          <w:rFonts w:ascii="Times New Roman" w:hAnsi="Times New Roman" w:eastAsia="Times New Roman" w:cs="Times New Roman"/>
          <w:spacing w:val="91"/>
        </w:rPr>
        <w:t xml:space="preserve"> </w:t>
      </w:r>
      <w:r>
        <w:rPr>
          <w:spacing w:val="15"/>
        </w:rPr>
        <w:t>重大主题“思政大课”开发工作长效机制研究</w:t>
      </w:r>
    </w:p>
    <w:p>
      <w:pPr>
        <w:pStyle w:val="BodyText"/>
        <w:ind w:left="124"/>
        <w:spacing w:before="244" w:line="222" w:lineRule="auto"/>
        <w:rPr/>
      </w:pPr>
      <w:r>
        <w:rPr>
          <w:spacing w:val="13"/>
        </w:rPr>
        <w:t>7.</w:t>
      </w:r>
      <w:r>
        <w:rPr>
          <w:spacing w:val="-23"/>
        </w:rPr>
        <w:t xml:space="preserve"> </w:t>
      </w:r>
      <w:r>
        <w:rPr>
          <w:spacing w:val="13"/>
        </w:rPr>
        <w:t>高校思政课多模态教学资源建设研究</w:t>
      </w:r>
    </w:p>
    <w:p>
      <w:pPr>
        <w:spacing w:line="222" w:lineRule="auto"/>
        <w:sectPr>
          <w:footerReference w:type="default" r:id="rId3"/>
          <w:pgSz w:w="12170" w:h="16970"/>
          <w:pgMar w:top="1442" w:right="1667" w:bottom="1300" w:left="1825" w:header="0" w:footer="1075" w:gutter="0"/>
        </w:sectPr>
        <w:rPr/>
      </w:pPr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spacing w:before="97" w:line="222" w:lineRule="auto"/>
        <w:rPr/>
      </w:pPr>
      <w:r>
        <w:rPr>
          <w:spacing w:val="13"/>
        </w:rPr>
        <w:t>8.</w:t>
      </w:r>
      <w:r>
        <w:rPr>
          <w:spacing w:val="-29"/>
        </w:rPr>
        <w:t xml:space="preserve"> </w:t>
      </w:r>
      <w:r>
        <w:rPr>
          <w:spacing w:val="13"/>
        </w:rPr>
        <w:t>基于实践导向的高校思政课教学改革研究</w:t>
      </w:r>
    </w:p>
    <w:p>
      <w:pPr>
        <w:pStyle w:val="BodyText"/>
        <w:spacing w:before="239" w:line="222" w:lineRule="auto"/>
        <w:rPr/>
      </w:pPr>
      <w:r>
        <w:rPr>
          <w:spacing w:val="16"/>
        </w:rPr>
        <w:t>9.</w:t>
      </w:r>
      <w:r>
        <w:rPr>
          <w:spacing w:val="-77"/>
        </w:rPr>
        <w:t xml:space="preserve"> </w:t>
      </w:r>
      <w:r>
        <w:rPr>
          <w:spacing w:val="16"/>
        </w:rPr>
        <w:t>马克思主义理论学科支撑中小学思政课建设研究</w:t>
      </w:r>
    </w:p>
    <w:p>
      <w:pPr>
        <w:pStyle w:val="BodyText"/>
        <w:spacing w:before="229" w:line="222" w:lineRule="auto"/>
        <w:rPr/>
      </w:pPr>
      <w:r>
        <w:rPr>
          <w:rFonts w:ascii="Times New Roman" w:hAnsi="Times New Roman" w:eastAsia="Times New Roman" w:cs="Times New Roman"/>
          <w:spacing w:val="14"/>
        </w:rPr>
        <w:t>10.</w:t>
      </w:r>
      <w:r>
        <w:rPr>
          <w:spacing w:val="14"/>
        </w:rPr>
        <w:t>大中小学思政课一体化教研共同体研究</w:t>
      </w:r>
    </w:p>
    <w:p>
      <w:pPr>
        <w:pStyle w:val="BodyText"/>
        <w:spacing w:before="237" w:line="220" w:lineRule="auto"/>
        <w:rPr/>
      </w:pPr>
      <w:r>
        <w:rPr>
          <w:spacing w:val="6"/>
        </w:rPr>
        <w:t>11.</w:t>
      </w:r>
      <w:r>
        <w:rPr>
          <w:spacing w:val="-75"/>
        </w:rPr>
        <w:t xml:space="preserve"> </w:t>
      </w:r>
      <w:r>
        <w:rPr>
          <w:spacing w:val="6"/>
        </w:rPr>
        <w:t>中外合作办学思政课建设难点和对策研究</w:t>
      </w:r>
    </w:p>
    <w:p>
      <w:pPr>
        <w:pStyle w:val="BodyText"/>
        <w:spacing w:before="253" w:line="222" w:lineRule="auto"/>
        <w:rPr/>
      </w:pPr>
      <w:r>
        <w:rPr>
          <w:rFonts w:ascii="Times New Roman" w:hAnsi="Times New Roman" w:eastAsia="Times New Roman" w:cs="Times New Roman"/>
          <w:spacing w:val="13"/>
        </w:rPr>
        <w:t>12.</w:t>
      </w:r>
      <w:r>
        <w:rPr>
          <w:spacing w:val="13"/>
        </w:rPr>
        <w:t>大学生综合素质评价机制研究</w:t>
      </w:r>
    </w:p>
    <w:sectPr>
      <w:footerReference w:type="default" r:id="rId4"/>
      <w:pgSz w:w="11950" w:h="16830"/>
      <w:pgMar w:top="1430" w:right="1792" w:bottom="1423" w:left="1670" w:header="0" w:footer="120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74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—6</w:t>
    </w:r>
    <w:r>
      <w:rPr>
        <w:rFonts w:ascii="SimSun" w:hAnsi="SimSun" w:eastAsia="SimSun" w:cs="SimSun"/>
        <w:sz w:val="23"/>
        <w:szCs w:val="23"/>
        <w:spacing w:val="51"/>
      </w:rPr>
      <w:t xml:space="preserve">  </w:t>
    </w:r>
    <w:r>
      <w:rPr>
        <w:rFonts w:ascii="SimSun" w:hAnsi="SimSun" w:eastAsia="SimSun" w:cs="SimSun"/>
        <w:sz w:val="23"/>
        <w:szCs w:val="23"/>
        <w:color w:val="2020A0"/>
        <w:spacing w:val="-3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10"/>
      <w:spacing w:line="16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SimSun" w:hAnsi="SimSun" w:eastAsia="SimSun" w:cs="SimSun"/>
        <w:sz w:val="21"/>
        <w:szCs w:val="21"/>
        <w:color w:val="102050"/>
        <w:spacing w:val="-5"/>
      </w:rPr>
      <w:t>—</w:t>
    </w:r>
    <w:r>
      <w:rPr>
        <w:rFonts w:ascii="SimSun" w:hAnsi="SimSun" w:eastAsia="SimSun" w:cs="SimSun"/>
        <w:sz w:val="21"/>
        <w:szCs w:val="21"/>
        <w:color w:val="102050"/>
        <w:spacing w:val="9"/>
      </w:rPr>
      <w:t xml:space="preserve">  </w:t>
    </w:r>
    <w:r>
      <w:rPr>
        <w:rFonts w:ascii="Times New Roman" w:hAnsi="Times New Roman" w:eastAsia="Times New Roman" w:cs="Times New Roman"/>
        <w:sz w:val="21"/>
        <w:szCs w:val="21"/>
        <w:spacing w:val="-5"/>
      </w:rPr>
      <w:t>7—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4"/>
      <w:spacing w:line="17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color w:val="103080"/>
        <w:spacing w:val="-8"/>
      </w:rPr>
      <w:t>—</w:t>
    </w:r>
    <w:r>
      <w:rPr>
        <w:rFonts w:ascii="SimSun" w:hAnsi="SimSun" w:eastAsia="SimSun" w:cs="SimSun"/>
        <w:sz w:val="23"/>
        <w:szCs w:val="23"/>
        <w:color w:val="103080"/>
        <w:spacing w:val="63"/>
      </w:rPr>
      <w:t xml:space="preserve"> </w:t>
    </w:r>
    <w:r>
      <w:rPr>
        <w:rFonts w:ascii="Times New Roman" w:hAnsi="Times New Roman" w:eastAsia="Times New Roman" w:cs="Times New Roman"/>
        <w:sz w:val="23"/>
        <w:szCs w:val="23"/>
        <w:spacing w:val="-8"/>
      </w:rPr>
      <w:t>8</w:t>
    </w:r>
    <w:r>
      <w:rPr>
        <w:rFonts w:ascii="Times New Roman" w:hAnsi="Times New Roman" w:eastAsia="Times New Roman" w:cs="Times New Roman"/>
        <w:sz w:val="23"/>
        <w:szCs w:val="23"/>
        <w:spacing w:val="2"/>
      </w:rPr>
      <w:t xml:space="preserve">   </w:t>
    </w:r>
    <w:r>
      <w:rPr>
        <w:rFonts w:ascii="SimSun" w:hAnsi="SimSun" w:eastAsia="SimSun" w:cs="SimSun"/>
        <w:sz w:val="23"/>
        <w:szCs w:val="23"/>
        <w:color w:val="103080"/>
        <w:spacing w:val="-8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9"/>
      <w:spacing w:line="17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6"/>
      </w:rPr>
      <w:t>—</w:t>
    </w:r>
    <w:r>
      <w:rPr>
        <w:rFonts w:ascii="SimSun" w:hAnsi="SimSun" w:eastAsia="SimSun" w:cs="SimSun"/>
        <w:sz w:val="22"/>
        <w:szCs w:val="22"/>
        <w:spacing w:val="68"/>
      </w:rPr>
      <w:t xml:space="preserve"> </w:t>
    </w:r>
    <w:r>
      <w:rPr>
        <w:rFonts w:ascii="Times New Roman" w:hAnsi="Times New Roman" w:eastAsia="Times New Roman" w:cs="Times New Roman"/>
        <w:sz w:val="22"/>
        <w:szCs w:val="22"/>
        <w:color w:val="101060"/>
        <w:spacing w:val="-6"/>
      </w:rPr>
      <w:t>9</w:t>
    </w:r>
    <w:r>
      <w:rPr>
        <w:rFonts w:ascii="Times New Roman" w:hAnsi="Times New Roman" w:eastAsia="Times New Roman" w:cs="Times New Roman"/>
        <w:sz w:val="22"/>
        <w:szCs w:val="22"/>
        <w:color w:val="101060"/>
        <w:spacing w:val="8"/>
      </w:rPr>
      <w:t xml:space="preserve">   </w:t>
    </w:r>
    <w:r>
      <w:rPr>
        <w:rFonts w:ascii="SimSun" w:hAnsi="SimSun" w:eastAsia="SimSun" w:cs="SimSun"/>
        <w:sz w:val="22"/>
        <w:szCs w:val="22"/>
        <w:spacing w:val="-6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2026-11-02T09:21:36Z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2026-11-02T09:21:36</vt:filetime>
  </property>
  <property fmtid="{D5CDD505-2E9C-101B-9397-08002B2CF9AE}" pid="4" name="UsrData">
    <vt:lpwstr>6ae7e59e10bd00001f27f41bwl</vt:lpwstr>
  </property>
</Properties>
</file>